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E0A" w:rsidRPr="00156E0A" w:rsidRDefault="00156E0A" w:rsidP="00156E0A">
      <w:pPr>
        <w:spacing w:after="0" w:line="480" w:lineRule="auto"/>
        <w:jc w:val="center"/>
        <w:rPr>
          <w:rFonts w:ascii="Times New Roman" w:hAnsi="Times New Roman" w:cs="Times New Roman"/>
          <w:sz w:val="24"/>
          <w:szCs w:val="24"/>
        </w:rPr>
      </w:pPr>
    </w:p>
    <w:p w:rsidR="00156E0A" w:rsidRPr="00156E0A" w:rsidRDefault="00156E0A" w:rsidP="00156E0A">
      <w:pPr>
        <w:spacing w:after="0" w:line="480" w:lineRule="auto"/>
        <w:jc w:val="center"/>
        <w:rPr>
          <w:rFonts w:ascii="Times New Roman" w:hAnsi="Times New Roman" w:cs="Times New Roman"/>
          <w:sz w:val="24"/>
          <w:szCs w:val="24"/>
        </w:rPr>
      </w:pPr>
    </w:p>
    <w:p w:rsidR="00156E0A" w:rsidRPr="00156E0A" w:rsidRDefault="00156E0A" w:rsidP="00156E0A">
      <w:pPr>
        <w:spacing w:after="0" w:line="480" w:lineRule="auto"/>
        <w:jc w:val="center"/>
        <w:rPr>
          <w:rFonts w:ascii="Times New Roman" w:hAnsi="Times New Roman" w:cs="Times New Roman"/>
          <w:sz w:val="24"/>
          <w:szCs w:val="24"/>
        </w:rPr>
      </w:pPr>
    </w:p>
    <w:p w:rsidR="00156E0A" w:rsidRPr="00156E0A" w:rsidRDefault="00156E0A" w:rsidP="00156E0A">
      <w:pPr>
        <w:spacing w:after="0" w:line="480" w:lineRule="auto"/>
        <w:jc w:val="center"/>
        <w:rPr>
          <w:rFonts w:ascii="Times New Roman" w:hAnsi="Times New Roman" w:cs="Times New Roman"/>
          <w:sz w:val="24"/>
          <w:szCs w:val="24"/>
        </w:rPr>
      </w:pPr>
    </w:p>
    <w:p w:rsidR="00156E0A" w:rsidRPr="00156E0A" w:rsidRDefault="00156E0A" w:rsidP="00156E0A">
      <w:pPr>
        <w:spacing w:after="0" w:line="480" w:lineRule="auto"/>
        <w:jc w:val="center"/>
        <w:rPr>
          <w:rFonts w:ascii="Times New Roman" w:hAnsi="Times New Roman" w:cs="Times New Roman"/>
          <w:sz w:val="24"/>
          <w:szCs w:val="24"/>
        </w:rPr>
      </w:pPr>
    </w:p>
    <w:p w:rsidR="00156E0A" w:rsidRPr="00156E0A" w:rsidRDefault="00156E0A" w:rsidP="00156E0A">
      <w:pPr>
        <w:spacing w:after="0" w:line="480" w:lineRule="auto"/>
        <w:jc w:val="center"/>
        <w:rPr>
          <w:rFonts w:ascii="Times New Roman" w:hAnsi="Times New Roman" w:cs="Times New Roman"/>
          <w:sz w:val="24"/>
          <w:szCs w:val="24"/>
        </w:rPr>
      </w:pPr>
    </w:p>
    <w:p w:rsidR="00156E0A" w:rsidRPr="00156E0A" w:rsidRDefault="00156E0A" w:rsidP="00156E0A">
      <w:pPr>
        <w:spacing w:after="0" w:line="480" w:lineRule="auto"/>
        <w:jc w:val="center"/>
        <w:rPr>
          <w:rFonts w:ascii="Times New Roman" w:hAnsi="Times New Roman" w:cs="Times New Roman"/>
          <w:sz w:val="24"/>
          <w:szCs w:val="24"/>
        </w:rPr>
      </w:pPr>
    </w:p>
    <w:p w:rsidR="00692AB6" w:rsidRPr="00156E0A" w:rsidRDefault="00F72A37" w:rsidP="00C641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Application of Waitangi Treaty at Contact Energy</w:t>
      </w:r>
    </w:p>
    <w:p w:rsidR="004E4E19" w:rsidRDefault="00F72A37" w:rsidP="00156E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F72A37" w:rsidRPr="00156E0A" w:rsidRDefault="00F72A37" w:rsidP="00156E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62551A" w:rsidRPr="00156E0A" w:rsidRDefault="0062551A" w:rsidP="00156E0A">
      <w:pPr>
        <w:spacing w:after="0" w:line="480" w:lineRule="auto"/>
        <w:jc w:val="both"/>
        <w:rPr>
          <w:rFonts w:ascii="Times New Roman" w:hAnsi="Times New Roman" w:cs="Times New Roman"/>
          <w:sz w:val="24"/>
          <w:szCs w:val="24"/>
        </w:rPr>
      </w:pPr>
    </w:p>
    <w:p w:rsidR="00692AB6" w:rsidRPr="00156E0A" w:rsidRDefault="00692AB6" w:rsidP="00156E0A">
      <w:pPr>
        <w:spacing w:after="0" w:line="480" w:lineRule="auto"/>
        <w:jc w:val="both"/>
        <w:rPr>
          <w:rFonts w:ascii="Times New Roman" w:hAnsi="Times New Roman" w:cs="Times New Roman"/>
          <w:sz w:val="24"/>
          <w:szCs w:val="24"/>
        </w:rPr>
      </w:pPr>
      <w:r w:rsidRPr="00156E0A">
        <w:rPr>
          <w:rFonts w:ascii="Times New Roman" w:hAnsi="Times New Roman" w:cs="Times New Roman"/>
          <w:sz w:val="24"/>
          <w:szCs w:val="24"/>
        </w:rPr>
        <w:br w:type="page"/>
      </w:r>
    </w:p>
    <w:p w:rsidR="00F72A37" w:rsidRPr="00156E0A" w:rsidRDefault="00F72A37" w:rsidP="00F72A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Application of Waitangi Treaty at Contact Energy</w:t>
      </w:r>
    </w:p>
    <w:p w:rsidR="006945F3" w:rsidRPr="00156E0A" w:rsidRDefault="006945F3" w:rsidP="00156E0A">
      <w:pPr>
        <w:spacing w:after="0" w:line="480" w:lineRule="auto"/>
        <w:jc w:val="both"/>
        <w:rPr>
          <w:rFonts w:ascii="Times New Roman" w:hAnsi="Times New Roman" w:cs="Times New Roman"/>
          <w:b/>
          <w:sz w:val="24"/>
          <w:szCs w:val="24"/>
        </w:rPr>
      </w:pPr>
      <w:r w:rsidRPr="00156E0A">
        <w:rPr>
          <w:rFonts w:ascii="Times New Roman" w:hAnsi="Times New Roman" w:cs="Times New Roman"/>
          <w:b/>
          <w:sz w:val="24"/>
          <w:szCs w:val="24"/>
        </w:rPr>
        <w:t>Introduction</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Founded in 1996, Contact Energy Limited has managed to make an exemplary transformation in the country’s energy sector in the 24 years it has been in existence. The company’s headquarters is in Wellington, New Zealand, and Ralph Norris is the company’s chairman, while Dennis Barnes is the Chief executive. The company boasts 889 employees scattered across various operational divisions in natural gas, electricity, broadband, and LPG retailing. As of 2019 financial report, the company’s revenue was NZ$ 460m, operating income was NZ$345M, and the Net income was NZ$ 299 (Contact Energy, 2019). The Edison Mission Energy EME owns 51% of the company, while the public holds 49 %. As such, Contact Energy Limited is New Zealand’s second-largest electricity generator just after Meridian Energy (MBIE, 2015). The company generates 23% of all electricity in New Zealand thanks to its twelve power stations and its generation portfolio that comprises natural gas, hydro and geothermal assets. The power stations consist of five gas turbine facilities in Auckland, Hawkes Bay, Hamilton, and Taranaki; five geothermal stations of Taupo and two hydroelectric dams on the Clutha River. The company’s mission of being committed to touching lives by making life better has enabled the company to grow. The 3Ps of Waitangi Treaty, protection, partnership, and participation have been instrumental in all these as far as the company’s achievement is concerned.</w:t>
      </w:r>
    </w:p>
    <w:p w:rsidR="0062551A" w:rsidRPr="00156E0A" w:rsidRDefault="00156E0A" w:rsidP="00156E0A">
      <w:pPr>
        <w:pStyle w:val="NormalWeb"/>
        <w:spacing w:before="0" w:beforeAutospacing="0" w:after="0" w:afterAutospacing="0" w:line="480" w:lineRule="auto"/>
        <w:jc w:val="both"/>
        <w:rPr>
          <w:b/>
          <w:color w:val="0E101A"/>
        </w:rPr>
      </w:pPr>
      <w:r w:rsidRPr="00156E0A">
        <w:rPr>
          <w:b/>
          <w:color w:val="0E101A"/>
        </w:rPr>
        <w:t>Treaty</w:t>
      </w:r>
      <w:r w:rsidR="0062551A" w:rsidRPr="00156E0A">
        <w:rPr>
          <w:b/>
          <w:color w:val="0E101A"/>
        </w:rPr>
        <w:t xml:space="preserve"> </w:t>
      </w:r>
      <w:r w:rsidRPr="00156E0A">
        <w:rPr>
          <w:b/>
          <w:color w:val="0E101A"/>
        </w:rPr>
        <w:t xml:space="preserve">of </w:t>
      </w:r>
      <w:r w:rsidR="0062551A" w:rsidRPr="00156E0A">
        <w:rPr>
          <w:b/>
          <w:color w:val="0E101A"/>
        </w:rPr>
        <w:t>W</w:t>
      </w:r>
      <w:r w:rsidRPr="00156E0A">
        <w:rPr>
          <w:b/>
          <w:color w:val="0E101A"/>
        </w:rPr>
        <w:t>aitangi</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 xml:space="preserve">Colonization by the Western countries, especially the British, had led to many unforeseen deaths and an unhealthy environment for dwelling. Thus, there was a need for a truce, this led to the Treaty of Waitangi, whose objective was to protect the Maori. The Waitangi Treaty was an agreement that was written between the Maori community of New Zealand and the British crown </w:t>
      </w:r>
      <w:r w:rsidRPr="00156E0A">
        <w:rPr>
          <w:color w:val="0E101A"/>
        </w:rPr>
        <w:lastRenderedPageBreak/>
        <w:t>in 1840 (Theresa, 2011). The treaty was written to ensure that there was guaranteed protection of rights and control over resources. It was also designed to establish new rights and obligations based on the changes that are sometimes unpredictable. The document was based on three articles that articulated the duty and obligation of the treaty partners and the crown. Partnership, protection, and participation formed the basis of this treaty, and it did ensure that the rights of the Maori were infringed upon by the crown and vice versa. The treaty tamed the power that the British had upon the Maori. It ensured that they had access to the benefits of the new society that had been brought by the British. It did ensure that the British recognized and accepted the Maori people's way of life, and they had control of their knowledge and customs. Showing their knowledge, and choosing strategies that would promote their well-being had also been incorporated. As such, at the end of the day in as much as there was colonization, the Maori were still independent in their way of thinking, and they would take actions that are aimed at safeguarding their community against dire infiltration by the British. The partnership and the participation was great, and hence it did bring healthy outcomes among the people as far as co-existing harmoniously is concerned. Thus, this gave companies such as Contact Energy a platform.</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 xml:space="preserve">A lot of years have passed, but the three Ps; partnership, participation, and protection still forms the basis of the relationship between the Maori people and today’s existing government as far as the Waitangi Treaty is concerned. The only thing that has changed is that colonialism is no longer in existence, but it still bridges the gap between the Maori and the English texts (Hayward, 2014). Thus, in every sector of the government, the treaty must be followed. The rights of the Maori and other Pacific communities should be protected, and they should be included given equal treatment as other individuals. But in as much as that is the case, the treaty doesn’t qualify as a law because the treaty’s English and Maori versions are not the same, and the issues that it focused on </w:t>
      </w:r>
      <w:r w:rsidRPr="00156E0A">
        <w:rPr>
          <w:color w:val="0E101A"/>
        </w:rPr>
        <w:lastRenderedPageBreak/>
        <w:t>seem to be irrelevant to today’s issues. But despite that, the treaty still holds a lot of importance. Thus, it should be in legislation and health approaches to achieve a nation that is inclined towards equitability and reversing the effects of colonization. Based on the value that the Waitangi treaty has on the people of New Zealand as far as nurturing an environment where people can coexist harmoniously with each other, many companies have implemented in the running of their organization. The 3Ps, encompass everything that a company should have to succeed in the unpredictable business environment. The three Ps remind companies of the need always to protect the rights of employees, partner with others to help grow your business, and indulge the people through programs that will encourage participation. All these will help with the marketing of the company and cement the company’s brand in the market.</w:t>
      </w:r>
    </w:p>
    <w:p w:rsidR="0062551A" w:rsidRPr="00156E0A" w:rsidRDefault="00156E0A" w:rsidP="00156E0A">
      <w:pPr>
        <w:pStyle w:val="NormalWeb"/>
        <w:spacing w:before="0" w:beforeAutospacing="0" w:after="0" w:afterAutospacing="0" w:line="480" w:lineRule="auto"/>
        <w:jc w:val="both"/>
        <w:rPr>
          <w:b/>
          <w:color w:val="0E101A"/>
        </w:rPr>
      </w:pPr>
      <w:r w:rsidRPr="00156E0A">
        <w:rPr>
          <w:b/>
          <w:color w:val="0E101A"/>
        </w:rPr>
        <w:t>Application</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Partnership, as one of the three principles, does advocate for the working together of the various communities in New Zealand. It encourages the communities of Whanau, Hapu, Iwi, and Maori to join hands and develop strategies that enhance the education of Maori. The principle ensures the involvement of the Maori in all sectors of the country. They are to be involved in the decision-making, planning, and development of strategies that will help empower their community and also benefit the country in the long run. Engaging with the Maori community, having representatives on boards of trustees, equity for the Maori people, and power-sharing is what the treaty entails as far as the partnership is concerned. But that seems not to be what is on the ground as many of the policies that have been there have sidelined the Maori community. For several years, the Maori have felt as they have not been welcomed and valued, and the government has forgotten about the treaty, and as such, many of their issues have remained unaddressed.</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lastRenderedPageBreak/>
        <w:t>Contact Energy was initially a state-owned company that was publicly traded. Still, later 40% of the company’s shares were sold to Edison Mission Energy (EME), who were the company’s cornerstone shareholders. The remaining 60% were sold to the public. Subsequently, EME increased its shares to 51%, thereby becoming the majority shareholder, but in 2004, these shares were sold to Origin Energy as a result of financial difficulties that were being experienced by the company. Based on these changing of ownership, the company suffered a great setback, which worsened in 2008 following the financial crisis whose impact were felt globally. In just six months, the company had lost more than 40,000 customers, thereby leading to the halving of profit. Following this downturn, Origin later sold its 53% shares to the market. But in as much as that was the case, the company never lost its touch with the people. The company has always been committed to partnering with communities with the aim of economic barriers. The company has always believed that through alleviation economic barriers, they will be to reach many customers. Many of these barriers are not just about energy prices but income and other disparities. The company acknowledges that energy or financial hardship cannot be solved in isolation but by reaching out to others. The company has always been committed to making sure that partnerships are forged in a bid to make energy more accessible uniquely for those in the rural areas where many are financially vulnerable. The company has a role to play in making sure that there is light in every house in New Zealand.</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 xml:space="preserve">The idea of ‘One-size-fits-all’ has always not been supported by the company as the best way of serving customers, as seen in other companies in New Zealand using the idea. The idea bars out those that are at the bottom of the pyramid, those individuals or families that experience difficulty in getting food to eat leave alone getting money to pay for electricity. Through the company’s outreach programs that have been made possible by the partnership, the company has </w:t>
      </w:r>
      <w:r w:rsidRPr="00156E0A">
        <w:rPr>
          <w:color w:val="0E101A"/>
        </w:rPr>
        <w:lastRenderedPageBreak/>
        <w:t>always been offering a range of products that suits all customers. Besides that, the company has also partnered with other energy companies, community organizations, and the government to launch </w:t>
      </w:r>
      <w:r w:rsidRPr="00156E0A">
        <w:rPr>
          <w:rStyle w:val="Emphasis"/>
          <w:color w:val="0E101A"/>
        </w:rPr>
        <w:t>EnergyMate.</w:t>
      </w:r>
      <w:r w:rsidRPr="00156E0A">
        <w:rPr>
          <w:color w:val="0E101A"/>
        </w:rPr>
        <w:t> The initiative involves the free in-home mentoring service that seeks to give a helping hand to families that are the highest risk energy hardship through reducing the cost of electricity and thus enabling them to live in warmer homes. The home visit by the experienced financial mentors offers the families a range of services and helping access funding and services such as insulation grants and banks. In today’s age of technological advancement, electricity is just as important as the water that we drink. Being enlightened and informed is very important in the current world. Thus, there is the need for availability of electricity to power electronic devices so that the people may stay updated on the happenings across the country or the world. Through these many partnerships, the company has been able to improve its reliability in providing an uninterrupted flow of electricity throughout the country. As such, this answers a lot of questions concerning a company that just a few years ago was struggling to have a foothold in the market due to financial difficulties. Today, it is in the no. 2 position in electricity generation in New Zealand.</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 xml:space="preserve">Concerning protection principle, the treaty outlined that the protection of the Maori interests, values, knowledge, and other taonga. Identity, culture, and language are vital aspects for the Maori, and thus, they are to be protected. As far as the business world is concerned, always safeguarding the environment that one is working is usually regarded as ethical. In as much as everyone in business wants to get profit going about destroying other people’s lives or habitat isn’t fair and it is unethical even if the competition is fierce. There are always rules of conduct that guide how people should relate to each other in business. Contact Energy has always been protective of the energy sector as far as price adjustments for the benefit a few at the expense of </w:t>
      </w:r>
      <w:r w:rsidRPr="00156E0A">
        <w:rPr>
          <w:color w:val="0E101A"/>
        </w:rPr>
        <w:lastRenderedPageBreak/>
        <w:t>the poor is concerned. Regardless of the economic times, the company has always kept its prices at reasonable rates, thereby protecting many from being exploited. Its reasonable prices attract many customers, and as such, these save the customers from exploitation. Recently the New Zealand government initiated an independent Electricity Price Review, whereby it highlighted that some families are struggling to pay for their energy. The review also did highlight that many of the discounts the energy companies were offering were not fair to the customers that were unable to pay their bills on time.  </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Following the revelation, Contact Energy quickly responded by accelerating plans that were aimed at removing prompt payment discounts. The company replaced them with simple plans such as Basic Plan or guaranteed discounts. It was a complex issue for many energy companies. Still, for the company, it easy based on the fact that it has always given a listening ear to its esteemed customers regardless of their social status. Also, in a bid to ensure that its customers are protected from getting into debt and intervening early if, at all, they do, there have been strategies that have been implemented. As such, this has seen 93% of the energy bills are now being paid on time, thereby leading to reduced overdue debt by 20% and debts over 90 days by 40%. As such, this implies that if the customers are disconnected as a last resort, the amount they will owe the company will be low (Contact Energy, 2019). The average balance that was recorded as a result based on the 2019 financial report was $489, which was 16% down compared to the amount that was recorded previously.</w:t>
      </w:r>
    </w:p>
    <w:p w:rsidR="00156E0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 xml:space="preserve">The company has also been vocal towards environmental protection. At the start of the year, the company recommitted itself to a climate change position through the installation of mechanisms that help with the monitoring of emission targets. These mechanisms have enabled the company to regulate its levels of emissions, thereby making the company be the first energy </w:t>
      </w:r>
      <w:r w:rsidRPr="00156E0A">
        <w:rPr>
          <w:color w:val="0E101A"/>
        </w:rPr>
        <w:lastRenderedPageBreak/>
        <w:t>company in New Zealand to have its emission reduction target being approved by the Science Based Targets initiative (SBTi). The company hasn't stopped there; it is still committed to making sure that the emissions are low as possible, and it has even considered the option abandoning its business segment of non-renewable energy. The company also does boast as the first energy company in New Zealand to have signed up as an official supporter of the Taskforce for Climate-related Financial Disclosures. As such, this asserts the company as one that is bound to protecting the climate. Contact Company has always partnered with the New Zealand government in planting trees, thereby increasing the country’s forest cover, therefore, reducing a greater percentage of carbon dioxide in the atmosphere. Thus, just like the principle of protection documented in the treaty of Waitangi was aimed at safeguarding the interest of the Maori people, Contact Energy has applied the principle to help safeguard the interest of its customers and the environment. </w:t>
      </w:r>
    </w:p>
    <w:p w:rsidR="0062551A" w:rsidRPr="00724365" w:rsidRDefault="00156E0A" w:rsidP="00156E0A">
      <w:pPr>
        <w:pStyle w:val="NormalWeb"/>
        <w:spacing w:before="0" w:beforeAutospacing="0" w:after="0" w:afterAutospacing="0" w:line="480" w:lineRule="auto"/>
        <w:jc w:val="both"/>
        <w:rPr>
          <w:b/>
          <w:color w:val="0E101A"/>
        </w:rPr>
      </w:pPr>
      <w:r w:rsidRPr="00724365">
        <w:rPr>
          <w:b/>
          <w:color w:val="0E101A"/>
        </w:rPr>
        <w:t xml:space="preserve">Impact </w:t>
      </w:r>
      <w:r w:rsidR="00724365" w:rsidRPr="00724365">
        <w:rPr>
          <w:b/>
          <w:color w:val="0E101A"/>
        </w:rPr>
        <w:t>of Treaty</w:t>
      </w:r>
      <w:r w:rsidRPr="00724365">
        <w:rPr>
          <w:b/>
          <w:color w:val="0E101A"/>
        </w:rPr>
        <w:t xml:space="preserve"> of Waitangi</w:t>
      </w:r>
      <w:r w:rsidR="0062551A" w:rsidRPr="00724365">
        <w:rPr>
          <w:b/>
          <w:color w:val="0E101A"/>
        </w:rPr>
        <w:t> </w:t>
      </w:r>
    </w:p>
    <w:p w:rsidR="0062551A" w:rsidRPr="00156E0A" w:rsidRDefault="0062551A" w:rsidP="00156E0A">
      <w:pPr>
        <w:pStyle w:val="NormalWeb"/>
        <w:spacing w:before="0" w:beforeAutospacing="0" w:after="0" w:afterAutospacing="0" w:line="480" w:lineRule="auto"/>
        <w:ind w:firstLine="720"/>
        <w:jc w:val="both"/>
        <w:rPr>
          <w:color w:val="0E101A"/>
        </w:rPr>
      </w:pPr>
      <w:r w:rsidRPr="00156E0A">
        <w:rPr>
          <w:color w:val="0E101A"/>
        </w:rPr>
        <w:t xml:space="preserve"> Contact Energy has done well in incorporating the 3Ps in its operational structure, and as such, it has been able to realize some breakthroughs. New Zealand government has been negating the milestone that have been gained as a result of the Waitangi Treaty, but the good thing various companies have known how to counter these setbacks. For instance, the government has always been heard saying that the grievances of the treaty are not relevant to today’s issues; thus, it doesn’t hold as law anywhere in New Zealand. As such, this has led to the increased marginalization of the Maori through policies that have left them destitute and illiterate. Contact Energy has always been committed to making sure that it empowers members of the Maori community through the provision of scholarships for education and also offering employment opportunities to others. The principles have also opened up the mindset of the company to an international outlook and thus why it has also reached out to the Maasai people in Kenya. The company has partnered with Bay </w:t>
      </w:r>
      <w:r w:rsidRPr="00156E0A">
        <w:rPr>
          <w:color w:val="0E101A"/>
        </w:rPr>
        <w:lastRenderedPageBreak/>
        <w:t>of Plenty Iwi to help the semi-nomadic community of Maasai get a better deal as far as power generation is concerned (Bradley, 2018). The company has realized that geothermal power is gaining ground as a source of energy generation in Kenya. As such, it does want the Maasai, a community that still upholds its culture to benefit from the deal.   </w:t>
      </w:r>
    </w:p>
    <w:p w:rsidR="0062551A" w:rsidRPr="00724365" w:rsidRDefault="0062551A" w:rsidP="00156E0A">
      <w:pPr>
        <w:pStyle w:val="NormalWeb"/>
        <w:spacing w:before="0" w:beforeAutospacing="0" w:after="0" w:afterAutospacing="0" w:line="480" w:lineRule="auto"/>
        <w:jc w:val="both"/>
        <w:rPr>
          <w:b/>
          <w:color w:val="0E101A"/>
        </w:rPr>
      </w:pPr>
      <w:r w:rsidRPr="00724365">
        <w:rPr>
          <w:b/>
          <w:color w:val="0E101A"/>
        </w:rPr>
        <w:t>Conclusion</w:t>
      </w:r>
    </w:p>
    <w:p w:rsidR="0062551A" w:rsidRDefault="0062551A" w:rsidP="00156E0A">
      <w:pPr>
        <w:pStyle w:val="NormalWeb"/>
        <w:spacing w:before="0" w:beforeAutospacing="0" w:after="0" w:afterAutospacing="0" w:line="480" w:lineRule="auto"/>
        <w:ind w:firstLine="720"/>
        <w:jc w:val="both"/>
        <w:rPr>
          <w:color w:val="0E101A"/>
        </w:rPr>
      </w:pPr>
      <w:r w:rsidRPr="00156E0A">
        <w:rPr>
          <w:color w:val="0E101A"/>
        </w:rPr>
        <w:t>In as much the New Zealand government might have declined to accept the relevance of the Waitangi Treaty in today’s world, the main objective as to why it was being written is still being actualized. Contact Energy has realized the impact the treaty’s principles have, and thus through its institutionalization, it has not only helped the company but also helped the many that the company has reached. In as much as that is the case, there is still the need for the government to recognize the relevance of the treaty and honor the grievances of the Maori people, the beneficiaries of the treaty.</w:t>
      </w: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Default="00724365" w:rsidP="00156E0A">
      <w:pPr>
        <w:pStyle w:val="NormalWeb"/>
        <w:spacing w:before="0" w:beforeAutospacing="0" w:after="0" w:afterAutospacing="0" w:line="480" w:lineRule="auto"/>
        <w:ind w:firstLine="720"/>
        <w:jc w:val="both"/>
        <w:rPr>
          <w:color w:val="0E101A"/>
        </w:rPr>
      </w:pPr>
    </w:p>
    <w:p w:rsidR="00724365" w:rsidRPr="00156E0A" w:rsidRDefault="00724365" w:rsidP="00156E0A">
      <w:pPr>
        <w:pStyle w:val="NormalWeb"/>
        <w:spacing w:before="0" w:beforeAutospacing="0" w:after="0" w:afterAutospacing="0" w:line="480" w:lineRule="auto"/>
        <w:ind w:firstLine="720"/>
        <w:jc w:val="both"/>
        <w:rPr>
          <w:color w:val="0E101A"/>
        </w:rPr>
      </w:pPr>
    </w:p>
    <w:p w:rsidR="0062551A" w:rsidRPr="00156E0A" w:rsidRDefault="0062551A" w:rsidP="00156E0A">
      <w:pPr>
        <w:spacing w:after="0"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02347339"/>
        <w:docPartObj>
          <w:docPartGallery w:val="Bibliographies"/>
          <w:docPartUnique/>
        </w:docPartObj>
      </w:sdtPr>
      <w:sdtEndPr/>
      <w:sdtContent>
        <w:p w:rsidR="0062551A" w:rsidRPr="000E6AFA" w:rsidRDefault="0062551A" w:rsidP="000E6AFA">
          <w:pPr>
            <w:pStyle w:val="Heading1"/>
            <w:spacing w:before="0" w:line="480" w:lineRule="auto"/>
            <w:jc w:val="center"/>
            <w:rPr>
              <w:rFonts w:ascii="Times New Roman" w:hAnsi="Times New Roman" w:cs="Times New Roman"/>
              <w:color w:val="auto"/>
              <w:sz w:val="24"/>
              <w:szCs w:val="24"/>
            </w:rPr>
          </w:pPr>
          <w:r w:rsidRPr="000E6AF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62551A" w:rsidRPr="00156E0A" w:rsidRDefault="0062551A" w:rsidP="00156E0A">
              <w:pPr>
                <w:pStyle w:val="Bibliography"/>
                <w:spacing w:after="0" w:line="480" w:lineRule="auto"/>
                <w:ind w:left="720" w:hanging="720"/>
                <w:rPr>
                  <w:rFonts w:ascii="Times New Roman" w:hAnsi="Times New Roman" w:cs="Times New Roman"/>
                  <w:noProof/>
                  <w:sz w:val="24"/>
                  <w:szCs w:val="24"/>
                </w:rPr>
              </w:pPr>
              <w:r w:rsidRPr="00156E0A">
                <w:rPr>
                  <w:rFonts w:ascii="Times New Roman" w:hAnsi="Times New Roman" w:cs="Times New Roman"/>
                  <w:sz w:val="24"/>
                  <w:szCs w:val="24"/>
                </w:rPr>
                <w:fldChar w:fldCharType="begin"/>
              </w:r>
              <w:r w:rsidRPr="00156E0A">
                <w:rPr>
                  <w:rFonts w:ascii="Times New Roman" w:hAnsi="Times New Roman" w:cs="Times New Roman"/>
                  <w:sz w:val="24"/>
                  <w:szCs w:val="24"/>
                </w:rPr>
                <w:instrText xml:space="preserve"> BIBLIOGRAPHY </w:instrText>
              </w:r>
              <w:r w:rsidRPr="00156E0A">
                <w:rPr>
                  <w:rFonts w:ascii="Times New Roman" w:hAnsi="Times New Roman" w:cs="Times New Roman"/>
                  <w:sz w:val="24"/>
                  <w:szCs w:val="24"/>
                </w:rPr>
                <w:fldChar w:fldCharType="separate"/>
              </w:r>
              <w:r w:rsidRPr="00156E0A">
                <w:rPr>
                  <w:rFonts w:ascii="Times New Roman" w:hAnsi="Times New Roman" w:cs="Times New Roman"/>
                  <w:noProof/>
                  <w:sz w:val="24"/>
                  <w:szCs w:val="24"/>
                </w:rPr>
                <w:t xml:space="preserve">Bradley, G. (2018). Ngati Tahu and Contact Energy Helping Kenya's Maasai People. </w:t>
              </w:r>
              <w:r w:rsidRPr="00156E0A">
                <w:rPr>
                  <w:rFonts w:ascii="Times New Roman" w:hAnsi="Times New Roman" w:cs="Times New Roman"/>
                  <w:i/>
                  <w:iCs/>
                  <w:noProof/>
                  <w:sz w:val="24"/>
                  <w:szCs w:val="24"/>
                </w:rPr>
                <w:t>Business</w:t>
              </w:r>
              <w:r w:rsidRPr="00156E0A">
                <w:rPr>
                  <w:rFonts w:ascii="Times New Roman" w:hAnsi="Times New Roman" w:cs="Times New Roman"/>
                  <w:noProof/>
                  <w:sz w:val="24"/>
                  <w:szCs w:val="24"/>
                </w:rPr>
                <w:t>, 1.</w:t>
              </w:r>
            </w:p>
            <w:p w:rsidR="0062551A" w:rsidRPr="00156E0A" w:rsidRDefault="0062551A" w:rsidP="00156E0A">
              <w:pPr>
                <w:pStyle w:val="Bibliography"/>
                <w:spacing w:after="0" w:line="480" w:lineRule="auto"/>
                <w:ind w:left="720" w:hanging="720"/>
                <w:rPr>
                  <w:rFonts w:ascii="Times New Roman" w:hAnsi="Times New Roman" w:cs="Times New Roman"/>
                  <w:noProof/>
                  <w:sz w:val="24"/>
                  <w:szCs w:val="24"/>
                </w:rPr>
              </w:pPr>
              <w:r w:rsidRPr="00156E0A">
                <w:rPr>
                  <w:rFonts w:ascii="Times New Roman" w:hAnsi="Times New Roman" w:cs="Times New Roman"/>
                  <w:noProof/>
                  <w:sz w:val="24"/>
                  <w:szCs w:val="24"/>
                </w:rPr>
                <w:t xml:space="preserve">Contact Energy. (2019). Contact Annual Report 2019. </w:t>
              </w:r>
              <w:r w:rsidRPr="00156E0A">
                <w:rPr>
                  <w:rFonts w:ascii="Times New Roman" w:hAnsi="Times New Roman" w:cs="Times New Roman"/>
                  <w:i/>
                  <w:iCs/>
                  <w:noProof/>
                  <w:sz w:val="24"/>
                  <w:szCs w:val="24"/>
                </w:rPr>
                <w:t>Contact Energy</w:t>
              </w:r>
              <w:r w:rsidRPr="00156E0A">
                <w:rPr>
                  <w:rFonts w:ascii="Times New Roman" w:hAnsi="Times New Roman" w:cs="Times New Roman"/>
                  <w:noProof/>
                  <w:sz w:val="24"/>
                  <w:szCs w:val="24"/>
                </w:rPr>
                <w:t>.</w:t>
              </w:r>
            </w:p>
            <w:p w:rsidR="0062551A" w:rsidRPr="00156E0A" w:rsidRDefault="0062551A" w:rsidP="00156E0A">
              <w:pPr>
                <w:pStyle w:val="Bibliography"/>
                <w:spacing w:after="0" w:line="480" w:lineRule="auto"/>
                <w:ind w:left="720" w:hanging="720"/>
                <w:rPr>
                  <w:rFonts w:ascii="Times New Roman" w:hAnsi="Times New Roman" w:cs="Times New Roman"/>
                  <w:noProof/>
                  <w:sz w:val="24"/>
                  <w:szCs w:val="24"/>
                </w:rPr>
              </w:pPr>
              <w:r w:rsidRPr="00156E0A">
                <w:rPr>
                  <w:rFonts w:ascii="Times New Roman" w:hAnsi="Times New Roman" w:cs="Times New Roman"/>
                  <w:noProof/>
                  <w:sz w:val="24"/>
                  <w:szCs w:val="24"/>
                </w:rPr>
                <w:t xml:space="preserve">Hayward, J. (2014, June 18). </w:t>
              </w:r>
              <w:r w:rsidRPr="00156E0A">
                <w:rPr>
                  <w:rFonts w:ascii="Times New Roman" w:hAnsi="Times New Roman" w:cs="Times New Roman"/>
                  <w:i/>
                  <w:iCs/>
                  <w:noProof/>
                  <w:sz w:val="24"/>
                  <w:szCs w:val="24"/>
                </w:rPr>
                <w:t>The Principles of the Treaty of Waitangi</w:t>
              </w:r>
              <w:r w:rsidRPr="00156E0A">
                <w:rPr>
                  <w:rFonts w:ascii="Times New Roman" w:hAnsi="Times New Roman" w:cs="Times New Roman"/>
                  <w:noProof/>
                  <w:sz w:val="24"/>
                  <w:szCs w:val="24"/>
                </w:rPr>
                <w:t>. Retrieved from Justice: http://www.justice.govt.nz/tribunals/waitangi-tribunal/treaty-of-waitangi/tribunals/waitangi-tribunal/documents/public/treaty-principles-appendix-99</w:t>
              </w:r>
            </w:p>
            <w:p w:rsidR="0062551A" w:rsidRPr="00156E0A" w:rsidRDefault="0062551A" w:rsidP="00156E0A">
              <w:pPr>
                <w:pStyle w:val="Bibliography"/>
                <w:spacing w:after="0" w:line="480" w:lineRule="auto"/>
                <w:ind w:left="720" w:hanging="720"/>
                <w:rPr>
                  <w:rFonts w:ascii="Times New Roman" w:hAnsi="Times New Roman" w:cs="Times New Roman"/>
                  <w:noProof/>
                  <w:sz w:val="24"/>
                  <w:szCs w:val="24"/>
                </w:rPr>
              </w:pPr>
              <w:r w:rsidRPr="00156E0A">
                <w:rPr>
                  <w:rFonts w:ascii="Times New Roman" w:hAnsi="Times New Roman" w:cs="Times New Roman"/>
                  <w:noProof/>
                  <w:sz w:val="24"/>
                  <w:szCs w:val="24"/>
                </w:rPr>
                <w:t xml:space="preserve">MBIE. (2015). Energy in New Zealand. </w:t>
              </w:r>
              <w:r w:rsidRPr="00156E0A">
                <w:rPr>
                  <w:rFonts w:ascii="Times New Roman" w:hAnsi="Times New Roman" w:cs="Times New Roman"/>
                  <w:i/>
                  <w:iCs/>
                  <w:noProof/>
                  <w:sz w:val="24"/>
                  <w:szCs w:val="24"/>
                </w:rPr>
                <w:t>Ministry of Business, Innovation and Employment</w:t>
              </w:r>
              <w:r w:rsidRPr="00156E0A">
                <w:rPr>
                  <w:rFonts w:ascii="Times New Roman" w:hAnsi="Times New Roman" w:cs="Times New Roman"/>
                  <w:noProof/>
                  <w:sz w:val="24"/>
                  <w:szCs w:val="24"/>
                </w:rPr>
                <w:t>.</w:t>
              </w:r>
            </w:p>
            <w:p w:rsidR="0062551A" w:rsidRPr="00156E0A" w:rsidRDefault="0062551A" w:rsidP="00156E0A">
              <w:pPr>
                <w:pStyle w:val="Bibliography"/>
                <w:spacing w:after="0" w:line="480" w:lineRule="auto"/>
                <w:ind w:left="720" w:hanging="720"/>
                <w:rPr>
                  <w:rFonts w:ascii="Times New Roman" w:hAnsi="Times New Roman" w:cs="Times New Roman"/>
                  <w:noProof/>
                  <w:sz w:val="24"/>
                  <w:szCs w:val="24"/>
                </w:rPr>
              </w:pPr>
              <w:r w:rsidRPr="00156E0A">
                <w:rPr>
                  <w:rFonts w:ascii="Times New Roman" w:hAnsi="Times New Roman" w:cs="Times New Roman"/>
                  <w:noProof/>
                  <w:sz w:val="24"/>
                  <w:szCs w:val="24"/>
                </w:rPr>
                <w:t xml:space="preserve">Theresa, C. (2011). </w:t>
              </w:r>
              <w:r w:rsidRPr="00156E0A">
                <w:rPr>
                  <w:rFonts w:ascii="Times New Roman" w:hAnsi="Times New Roman" w:cs="Times New Roman"/>
                  <w:i/>
                  <w:iCs/>
                  <w:noProof/>
                  <w:sz w:val="24"/>
                  <w:szCs w:val="24"/>
                </w:rPr>
                <w:t>Principles for Crown Action on the Treaty of Waitangi.</w:t>
              </w:r>
              <w:r w:rsidRPr="00156E0A">
                <w:rPr>
                  <w:rFonts w:ascii="Times New Roman" w:hAnsi="Times New Roman" w:cs="Times New Roman"/>
                  <w:noProof/>
                  <w:sz w:val="24"/>
                  <w:szCs w:val="24"/>
                </w:rPr>
                <w:t xml:space="preserve"> Wellington: Victoria University of Wellington.</w:t>
              </w:r>
            </w:p>
            <w:p w:rsidR="0062551A" w:rsidRPr="00156E0A" w:rsidRDefault="0062551A" w:rsidP="00156E0A">
              <w:pPr>
                <w:spacing w:after="0" w:line="480" w:lineRule="auto"/>
                <w:rPr>
                  <w:rFonts w:ascii="Times New Roman" w:hAnsi="Times New Roman" w:cs="Times New Roman"/>
                  <w:sz w:val="24"/>
                  <w:szCs w:val="24"/>
                </w:rPr>
              </w:pPr>
              <w:r w:rsidRPr="00156E0A">
                <w:rPr>
                  <w:rFonts w:ascii="Times New Roman" w:hAnsi="Times New Roman" w:cs="Times New Roman"/>
                  <w:b/>
                  <w:bCs/>
                  <w:noProof/>
                  <w:sz w:val="24"/>
                  <w:szCs w:val="24"/>
                </w:rPr>
                <w:fldChar w:fldCharType="end"/>
              </w:r>
            </w:p>
          </w:sdtContent>
        </w:sdt>
      </w:sdtContent>
    </w:sdt>
    <w:p w:rsidR="0062551A" w:rsidRPr="00156E0A" w:rsidRDefault="0062551A" w:rsidP="00156E0A">
      <w:pPr>
        <w:spacing w:after="0" w:line="480" w:lineRule="auto"/>
        <w:jc w:val="both"/>
        <w:rPr>
          <w:rFonts w:ascii="Times New Roman" w:hAnsi="Times New Roman" w:cs="Times New Roman"/>
          <w:sz w:val="24"/>
          <w:szCs w:val="24"/>
        </w:rPr>
      </w:pPr>
    </w:p>
    <w:p w:rsidR="0062551A" w:rsidRPr="00156E0A" w:rsidRDefault="0062551A" w:rsidP="00156E0A">
      <w:pPr>
        <w:spacing w:after="0" w:line="480" w:lineRule="auto"/>
        <w:jc w:val="both"/>
        <w:rPr>
          <w:rFonts w:ascii="Times New Roman" w:hAnsi="Times New Roman" w:cs="Times New Roman"/>
          <w:sz w:val="24"/>
          <w:szCs w:val="24"/>
        </w:rPr>
      </w:pPr>
    </w:p>
    <w:p w:rsidR="0062551A" w:rsidRPr="00156E0A" w:rsidRDefault="0062551A" w:rsidP="00156E0A">
      <w:pPr>
        <w:spacing w:after="0" w:line="480" w:lineRule="auto"/>
        <w:jc w:val="both"/>
        <w:rPr>
          <w:rFonts w:ascii="Times New Roman" w:hAnsi="Times New Roman" w:cs="Times New Roman"/>
          <w:sz w:val="24"/>
          <w:szCs w:val="24"/>
        </w:rPr>
      </w:pPr>
    </w:p>
    <w:p w:rsidR="0062551A" w:rsidRPr="00156E0A" w:rsidRDefault="0062551A" w:rsidP="00156E0A">
      <w:pPr>
        <w:spacing w:after="0" w:line="480" w:lineRule="auto"/>
        <w:jc w:val="both"/>
        <w:rPr>
          <w:rFonts w:ascii="Times New Roman" w:hAnsi="Times New Roman" w:cs="Times New Roman"/>
          <w:sz w:val="24"/>
          <w:szCs w:val="24"/>
        </w:rPr>
      </w:pPr>
      <w:bookmarkStart w:id="0" w:name="_GoBack"/>
      <w:bookmarkEnd w:id="0"/>
    </w:p>
    <w:sectPr w:rsidR="0062551A" w:rsidRPr="00156E0A" w:rsidSect="00692A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985" w:rsidRDefault="00D80985" w:rsidP="00D90716">
      <w:pPr>
        <w:spacing w:after="0" w:line="240" w:lineRule="auto"/>
      </w:pPr>
      <w:r>
        <w:separator/>
      </w:r>
    </w:p>
  </w:endnote>
  <w:endnote w:type="continuationSeparator" w:id="0">
    <w:p w:rsidR="00D80985" w:rsidRDefault="00D80985" w:rsidP="00D90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985" w:rsidRDefault="00D80985" w:rsidP="00D90716">
      <w:pPr>
        <w:spacing w:after="0" w:line="240" w:lineRule="auto"/>
      </w:pPr>
      <w:r>
        <w:separator/>
      </w:r>
    </w:p>
  </w:footnote>
  <w:footnote w:type="continuationSeparator" w:id="0">
    <w:p w:rsidR="00D80985" w:rsidRDefault="00D80985" w:rsidP="00D90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4912341"/>
      <w:docPartObj>
        <w:docPartGallery w:val="Page Numbers (Top of Page)"/>
        <w:docPartUnique/>
      </w:docPartObj>
    </w:sdtPr>
    <w:sdtEndPr>
      <w:rPr>
        <w:rFonts w:asciiTheme="minorHAnsi" w:hAnsiTheme="minorHAnsi" w:cstheme="minorBidi"/>
        <w:noProof/>
        <w:sz w:val="22"/>
        <w:szCs w:val="22"/>
      </w:rPr>
    </w:sdtEndPr>
    <w:sdtContent>
      <w:p w:rsidR="00D90716" w:rsidRDefault="00692AB6" w:rsidP="00692AB6">
        <w:pPr>
          <w:pStyle w:val="Header"/>
        </w:pPr>
        <w:r w:rsidRPr="00692AB6">
          <w:rPr>
            <w:rFonts w:ascii="Times New Roman" w:hAnsi="Times New Roman" w:cs="Times New Roman"/>
            <w:sz w:val="24"/>
            <w:szCs w:val="24"/>
          </w:rPr>
          <w:t xml:space="preserve"> CONTACT ENERGY</w:t>
        </w:r>
        <w:r w:rsidRPr="00692AB6">
          <w:rPr>
            <w:rFonts w:ascii="Times New Roman" w:hAnsi="Times New Roman" w:cs="Times New Roman"/>
            <w:sz w:val="24"/>
            <w:szCs w:val="24"/>
          </w:rPr>
          <w:tab/>
        </w:r>
        <w:r w:rsidRPr="00692AB6">
          <w:rPr>
            <w:rFonts w:ascii="Times New Roman" w:hAnsi="Times New Roman" w:cs="Times New Roman"/>
            <w:sz w:val="24"/>
            <w:szCs w:val="24"/>
          </w:rPr>
          <w:tab/>
        </w:r>
        <w:r w:rsidR="00D90716" w:rsidRPr="00692AB6">
          <w:rPr>
            <w:rFonts w:ascii="Times New Roman" w:hAnsi="Times New Roman" w:cs="Times New Roman"/>
            <w:sz w:val="24"/>
            <w:szCs w:val="24"/>
          </w:rPr>
          <w:fldChar w:fldCharType="begin"/>
        </w:r>
        <w:r w:rsidR="00D90716" w:rsidRPr="00692AB6">
          <w:rPr>
            <w:rFonts w:ascii="Times New Roman" w:hAnsi="Times New Roman" w:cs="Times New Roman"/>
            <w:sz w:val="24"/>
            <w:szCs w:val="24"/>
          </w:rPr>
          <w:instrText xml:space="preserve"> PAGE   \* MERGEFORMAT </w:instrText>
        </w:r>
        <w:r w:rsidR="00D90716" w:rsidRPr="00692AB6">
          <w:rPr>
            <w:rFonts w:ascii="Times New Roman" w:hAnsi="Times New Roman" w:cs="Times New Roman"/>
            <w:sz w:val="24"/>
            <w:szCs w:val="24"/>
          </w:rPr>
          <w:fldChar w:fldCharType="separate"/>
        </w:r>
        <w:r w:rsidR="00C02E4E">
          <w:rPr>
            <w:rFonts w:ascii="Times New Roman" w:hAnsi="Times New Roman" w:cs="Times New Roman"/>
            <w:noProof/>
            <w:sz w:val="24"/>
            <w:szCs w:val="24"/>
          </w:rPr>
          <w:t>9</w:t>
        </w:r>
        <w:r w:rsidR="00D90716" w:rsidRPr="00692AB6">
          <w:rPr>
            <w:rFonts w:ascii="Times New Roman" w:hAnsi="Times New Roman" w:cs="Times New Roman"/>
            <w:noProof/>
            <w:sz w:val="24"/>
            <w:szCs w:val="24"/>
          </w:rPr>
          <w:fldChar w:fldCharType="end"/>
        </w:r>
      </w:p>
    </w:sdtContent>
  </w:sdt>
  <w:p w:rsidR="00D90716" w:rsidRDefault="00D9071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4511621"/>
      <w:docPartObj>
        <w:docPartGallery w:val="Page Numbers (Top of Page)"/>
        <w:docPartUnique/>
      </w:docPartObj>
    </w:sdtPr>
    <w:sdtEndPr>
      <w:rPr>
        <w:rFonts w:asciiTheme="minorHAnsi" w:hAnsiTheme="minorHAnsi" w:cstheme="minorBidi"/>
        <w:noProof/>
        <w:sz w:val="22"/>
        <w:szCs w:val="22"/>
      </w:rPr>
    </w:sdtEndPr>
    <w:sdtContent>
      <w:p w:rsidR="00692AB6" w:rsidRDefault="00692AB6" w:rsidP="00692AB6">
        <w:pPr>
          <w:pStyle w:val="Header"/>
          <w:jc w:val="right"/>
          <w:rPr>
            <w:noProof/>
          </w:rPr>
        </w:pPr>
        <w:r w:rsidRPr="00692AB6">
          <w:rPr>
            <w:rFonts w:ascii="Times New Roman" w:hAnsi="Times New Roman" w:cs="Times New Roman"/>
            <w:sz w:val="24"/>
            <w:szCs w:val="24"/>
          </w:rPr>
          <w:t>Running Header: CONTACT ENERGY</w:t>
        </w:r>
        <w:r w:rsidRPr="00692AB6">
          <w:rPr>
            <w:rFonts w:ascii="Times New Roman" w:hAnsi="Times New Roman" w:cs="Times New Roman"/>
            <w:sz w:val="24"/>
            <w:szCs w:val="24"/>
          </w:rPr>
          <w:tab/>
        </w:r>
        <w:r w:rsidRPr="00692AB6">
          <w:rPr>
            <w:rFonts w:ascii="Times New Roman" w:hAnsi="Times New Roman" w:cs="Times New Roman"/>
            <w:sz w:val="24"/>
            <w:szCs w:val="24"/>
          </w:rPr>
          <w:tab/>
        </w:r>
        <w:r w:rsidRPr="00692AB6">
          <w:rPr>
            <w:rFonts w:ascii="Times New Roman" w:hAnsi="Times New Roman" w:cs="Times New Roman"/>
            <w:sz w:val="24"/>
            <w:szCs w:val="24"/>
          </w:rPr>
          <w:fldChar w:fldCharType="begin"/>
        </w:r>
        <w:r w:rsidRPr="00692AB6">
          <w:rPr>
            <w:rFonts w:ascii="Times New Roman" w:hAnsi="Times New Roman" w:cs="Times New Roman"/>
            <w:sz w:val="24"/>
            <w:szCs w:val="24"/>
          </w:rPr>
          <w:instrText xml:space="preserve"> PAGE   \* MERGEFORMAT </w:instrText>
        </w:r>
        <w:r w:rsidRPr="00692AB6">
          <w:rPr>
            <w:rFonts w:ascii="Times New Roman" w:hAnsi="Times New Roman" w:cs="Times New Roman"/>
            <w:sz w:val="24"/>
            <w:szCs w:val="24"/>
          </w:rPr>
          <w:fldChar w:fldCharType="separate"/>
        </w:r>
        <w:r w:rsidR="00F72A37">
          <w:rPr>
            <w:rFonts w:ascii="Times New Roman" w:hAnsi="Times New Roman" w:cs="Times New Roman"/>
            <w:noProof/>
            <w:sz w:val="24"/>
            <w:szCs w:val="24"/>
          </w:rPr>
          <w:t>1</w:t>
        </w:r>
        <w:r w:rsidRPr="00692AB6">
          <w:rPr>
            <w:rFonts w:ascii="Times New Roman" w:hAnsi="Times New Roman" w:cs="Times New Roman"/>
            <w:noProof/>
            <w:sz w:val="24"/>
            <w:szCs w:val="24"/>
          </w:rPr>
          <w:fldChar w:fldCharType="end"/>
        </w:r>
      </w:p>
    </w:sdtContent>
  </w:sdt>
  <w:p w:rsidR="00D90716" w:rsidRDefault="00D907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6C4"/>
    <w:rsid w:val="0000275F"/>
    <w:rsid w:val="00013A84"/>
    <w:rsid w:val="000735F4"/>
    <w:rsid w:val="00091711"/>
    <w:rsid w:val="000A05A2"/>
    <w:rsid w:val="000A0620"/>
    <w:rsid w:val="000E6AFA"/>
    <w:rsid w:val="000E7B84"/>
    <w:rsid w:val="000F5C3B"/>
    <w:rsid w:val="001044F7"/>
    <w:rsid w:val="00114CDE"/>
    <w:rsid w:val="00154DB4"/>
    <w:rsid w:val="00156E0A"/>
    <w:rsid w:val="00175933"/>
    <w:rsid w:val="0027076F"/>
    <w:rsid w:val="0027676A"/>
    <w:rsid w:val="00292A82"/>
    <w:rsid w:val="00297FF7"/>
    <w:rsid w:val="002F42AC"/>
    <w:rsid w:val="00403BD7"/>
    <w:rsid w:val="00457255"/>
    <w:rsid w:val="00491751"/>
    <w:rsid w:val="004D188A"/>
    <w:rsid w:val="004E068F"/>
    <w:rsid w:val="004E4E19"/>
    <w:rsid w:val="004E61E3"/>
    <w:rsid w:val="004F4F8B"/>
    <w:rsid w:val="00522C1D"/>
    <w:rsid w:val="00527590"/>
    <w:rsid w:val="00545075"/>
    <w:rsid w:val="005A5307"/>
    <w:rsid w:val="005C55B4"/>
    <w:rsid w:val="005D336E"/>
    <w:rsid w:val="005E3DE1"/>
    <w:rsid w:val="005F437D"/>
    <w:rsid w:val="005F6BF7"/>
    <w:rsid w:val="00605D71"/>
    <w:rsid w:val="006070F7"/>
    <w:rsid w:val="00614C2D"/>
    <w:rsid w:val="0062551A"/>
    <w:rsid w:val="00692AB6"/>
    <w:rsid w:val="006945F3"/>
    <w:rsid w:val="006A63E3"/>
    <w:rsid w:val="006D1B9A"/>
    <w:rsid w:val="007008B9"/>
    <w:rsid w:val="00724365"/>
    <w:rsid w:val="0078364E"/>
    <w:rsid w:val="00786024"/>
    <w:rsid w:val="007E5050"/>
    <w:rsid w:val="007F7569"/>
    <w:rsid w:val="00832F48"/>
    <w:rsid w:val="00886FB1"/>
    <w:rsid w:val="00911B0C"/>
    <w:rsid w:val="009373E9"/>
    <w:rsid w:val="00960DB0"/>
    <w:rsid w:val="009926CE"/>
    <w:rsid w:val="009C53BA"/>
    <w:rsid w:val="009E16C4"/>
    <w:rsid w:val="009F0189"/>
    <w:rsid w:val="00A87DBF"/>
    <w:rsid w:val="00A9427F"/>
    <w:rsid w:val="00AB3FE5"/>
    <w:rsid w:val="00AC3564"/>
    <w:rsid w:val="00AF2F83"/>
    <w:rsid w:val="00AF4C28"/>
    <w:rsid w:val="00B20DB3"/>
    <w:rsid w:val="00BA3AEA"/>
    <w:rsid w:val="00BC7546"/>
    <w:rsid w:val="00C00CE0"/>
    <w:rsid w:val="00C02E4E"/>
    <w:rsid w:val="00C350EB"/>
    <w:rsid w:val="00C41259"/>
    <w:rsid w:val="00C64130"/>
    <w:rsid w:val="00C82EDF"/>
    <w:rsid w:val="00C84801"/>
    <w:rsid w:val="00C9675E"/>
    <w:rsid w:val="00D26D50"/>
    <w:rsid w:val="00D6345C"/>
    <w:rsid w:val="00D762A4"/>
    <w:rsid w:val="00D76CFC"/>
    <w:rsid w:val="00D80985"/>
    <w:rsid w:val="00D90716"/>
    <w:rsid w:val="00DF3F61"/>
    <w:rsid w:val="00DF56B5"/>
    <w:rsid w:val="00E35EDD"/>
    <w:rsid w:val="00E3684B"/>
    <w:rsid w:val="00E84CD1"/>
    <w:rsid w:val="00E93C8D"/>
    <w:rsid w:val="00EA6FEC"/>
    <w:rsid w:val="00EF5240"/>
    <w:rsid w:val="00F2747A"/>
    <w:rsid w:val="00F72A37"/>
    <w:rsid w:val="00FD151C"/>
    <w:rsid w:val="00FE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AE29"/>
  <w15:chartTrackingRefBased/>
  <w15:docId w15:val="{AE20369E-2A88-423A-8A9A-90EBC67C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255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716"/>
  </w:style>
  <w:style w:type="paragraph" w:styleId="Footer">
    <w:name w:val="footer"/>
    <w:basedOn w:val="Normal"/>
    <w:link w:val="FooterChar"/>
    <w:uiPriority w:val="99"/>
    <w:unhideWhenUsed/>
    <w:rsid w:val="00D90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716"/>
  </w:style>
  <w:style w:type="paragraph" w:styleId="NormalWeb">
    <w:name w:val="Normal (Web)"/>
    <w:basedOn w:val="Normal"/>
    <w:uiPriority w:val="99"/>
    <w:semiHidden/>
    <w:unhideWhenUsed/>
    <w:rsid w:val="0062551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2551A"/>
    <w:rPr>
      <w:i/>
      <w:iCs/>
    </w:rPr>
  </w:style>
  <w:style w:type="character" w:customStyle="1" w:styleId="Heading1Char">
    <w:name w:val="Heading 1 Char"/>
    <w:basedOn w:val="DefaultParagraphFont"/>
    <w:link w:val="Heading1"/>
    <w:uiPriority w:val="9"/>
    <w:rsid w:val="0062551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25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73626">
      <w:bodyDiv w:val="1"/>
      <w:marLeft w:val="0"/>
      <w:marRight w:val="0"/>
      <w:marTop w:val="0"/>
      <w:marBottom w:val="0"/>
      <w:divBdr>
        <w:top w:val="none" w:sz="0" w:space="0" w:color="auto"/>
        <w:left w:val="none" w:sz="0" w:space="0" w:color="auto"/>
        <w:bottom w:val="none" w:sz="0" w:space="0" w:color="auto"/>
        <w:right w:val="none" w:sz="0" w:space="0" w:color="auto"/>
      </w:divBdr>
    </w:div>
    <w:div w:id="277224723">
      <w:bodyDiv w:val="1"/>
      <w:marLeft w:val="0"/>
      <w:marRight w:val="0"/>
      <w:marTop w:val="0"/>
      <w:marBottom w:val="0"/>
      <w:divBdr>
        <w:top w:val="none" w:sz="0" w:space="0" w:color="auto"/>
        <w:left w:val="none" w:sz="0" w:space="0" w:color="auto"/>
        <w:bottom w:val="none" w:sz="0" w:space="0" w:color="auto"/>
        <w:right w:val="none" w:sz="0" w:space="0" w:color="auto"/>
      </w:divBdr>
    </w:div>
    <w:div w:id="365066930">
      <w:bodyDiv w:val="1"/>
      <w:marLeft w:val="0"/>
      <w:marRight w:val="0"/>
      <w:marTop w:val="0"/>
      <w:marBottom w:val="0"/>
      <w:divBdr>
        <w:top w:val="none" w:sz="0" w:space="0" w:color="auto"/>
        <w:left w:val="none" w:sz="0" w:space="0" w:color="auto"/>
        <w:bottom w:val="none" w:sz="0" w:space="0" w:color="auto"/>
        <w:right w:val="none" w:sz="0" w:space="0" w:color="auto"/>
      </w:divBdr>
    </w:div>
    <w:div w:id="792210492">
      <w:bodyDiv w:val="1"/>
      <w:marLeft w:val="0"/>
      <w:marRight w:val="0"/>
      <w:marTop w:val="0"/>
      <w:marBottom w:val="0"/>
      <w:divBdr>
        <w:top w:val="none" w:sz="0" w:space="0" w:color="auto"/>
        <w:left w:val="none" w:sz="0" w:space="0" w:color="auto"/>
        <w:bottom w:val="none" w:sz="0" w:space="0" w:color="auto"/>
        <w:right w:val="none" w:sz="0" w:space="0" w:color="auto"/>
      </w:divBdr>
    </w:div>
    <w:div w:id="1092119589">
      <w:bodyDiv w:val="1"/>
      <w:marLeft w:val="0"/>
      <w:marRight w:val="0"/>
      <w:marTop w:val="0"/>
      <w:marBottom w:val="0"/>
      <w:divBdr>
        <w:top w:val="none" w:sz="0" w:space="0" w:color="auto"/>
        <w:left w:val="none" w:sz="0" w:space="0" w:color="auto"/>
        <w:bottom w:val="none" w:sz="0" w:space="0" w:color="auto"/>
        <w:right w:val="none" w:sz="0" w:space="0" w:color="auto"/>
      </w:divBdr>
    </w:div>
    <w:div w:id="1311786527">
      <w:bodyDiv w:val="1"/>
      <w:marLeft w:val="0"/>
      <w:marRight w:val="0"/>
      <w:marTop w:val="0"/>
      <w:marBottom w:val="0"/>
      <w:divBdr>
        <w:top w:val="none" w:sz="0" w:space="0" w:color="auto"/>
        <w:left w:val="none" w:sz="0" w:space="0" w:color="auto"/>
        <w:bottom w:val="none" w:sz="0" w:space="0" w:color="auto"/>
        <w:right w:val="none" w:sz="0" w:space="0" w:color="auto"/>
      </w:divBdr>
    </w:div>
    <w:div w:id="1485203349">
      <w:bodyDiv w:val="1"/>
      <w:marLeft w:val="0"/>
      <w:marRight w:val="0"/>
      <w:marTop w:val="0"/>
      <w:marBottom w:val="0"/>
      <w:divBdr>
        <w:top w:val="none" w:sz="0" w:space="0" w:color="auto"/>
        <w:left w:val="none" w:sz="0" w:space="0" w:color="auto"/>
        <w:bottom w:val="none" w:sz="0" w:space="0" w:color="auto"/>
        <w:right w:val="none" w:sz="0" w:space="0" w:color="auto"/>
      </w:divBdr>
    </w:div>
    <w:div w:id="189997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Con191</b:Tag>
    <b:SourceType>JournalArticle</b:SourceType>
    <b:Guid>{8F459143-7C00-4C44-86E6-889E1739C337}</b:Guid>
    <b:Author>
      <b:Author>
        <b:Corporate>Contact Energy</b:Corporate>
      </b:Author>
    </b:Author>
    <b:Title>Contact Annual Report 2019</b:Title>
    <b:JournalName>Contact Energy</b:JournalName>
    <b:Year>2019</b:Year>
    <b:RefOrder>1</b:RefOrder>
  </b:Source>
  <b:Source>
    <b:Tag>The11</b:Tag>
    <b:SourceType>Book</b:SourceType>
    <b:Guid>{34C62856-95C8-4F0E-9480-A1E436B369E0}</b:Guid>
    <b:Title>Principles for Crown Action on the Treaty of Waitangi</b:Title>
    <b:Year>2011</b:Year>
    <b:Author>
      <b:Author>
        <b:NameList>
          <b:Person>
            <b:Last>Theresa</b:Last>
            <b:First>Crocker</b:First>
          </b:Person>
        </b:NameList>
      </b:Author>
    </b:Author>
    <b:City>Wellington</b:City>
    <b:Publisher>Victoria University of Wellington</b:Publisher>
    <b:RefOrder>2</b:RefOrder>
  </b:Source>
  <b:Source>
    <b:Tag>Hay14</b:Tag>
    <b:SourceType>InternetSite</b:SourceType>
    <b:Guid>{D36195F4-1262-42F8-93D1-B35C218ECF65}</b:Guid>
    <b:Title>The Principles of the Treaty of Waitangi</b:Title>
    <b:Year>2014</b:Year>
    <b:Author>
      <b:Author>
        <b:NameList>
          <b:Person>
            <b:Last>Hayward</b:Last>
            <b:First>J</b:First>
          </b:Person>
        </b:NameList>
      </b:Author>
    </b:Author>
    <b:InternetSiteTitle>Justice</b:InternetSiteTitle>
    <b:Month>June</b:Month>
    <b:Day>18</b:Day>
    <b:URL>http://www.justice.govt.nz/tribunals/waitangi-tribunal/treaty-of-waitangi/tribunals/waitangi-tribunal/documents/public/treaty-principles-appendix-99</b:URL>
    <b:RefOrder>3</b:RefOrder>
  </b:Source>
  <b:Source>
    <b:Tag>MBI15</b:Tag>
    <b:SourceType>JournalArticle</b:SourceType>
    <b:Guid>{9E4BE726-41C6-4608-A004-1A20195D5124}</b:Guid>
    <b:Title>Energy in New Zealand</b:Title>
    <b:Year>2015</b:Year>
    <b:Author>
      <b:Author>
        <b:Corporate>MBIE</b:Corporate>
      </b:Author>
    </b:Author>
    <b:JournalName>Ministry of Business, Innovation and Employment</b:JournalName>
    <b:RefOrder>4</b:RefOrder>
  </b:Source>
  <b:Source>
    <b:Tag>Bra18</b:Tag>
    <b:SourceType>JournalArticle</b:SourceType>
    <b:Guid>{C1932B81-0848-4CA0-BA26-165169A28D63}</b:Guid>
    <b:Author>
      <b:Author>
        <b:NameList>
          <b:Person>
            <b:Last>Bradley</b:Last>
            <b:First>Grant</b:First>
          </b:Person>
        </b:NameList>
      </b:Author>
    </b:Author>
    <b:Title>Ngati Tahu and Contact Energy Helping Kenya's Maasai People</b:Title>
    <b:JournalName>Business</b:JournalName>
    <b:Year>2018</b:Year>
    <b:Pages>1</b:Pages>
    <b:RefOrder>5</b:RefOrder>
  </b:Source>
</b:Sources>
</file>

<file path=customXml/itemProps1.xml><?xml version="1.0" encoding="utf-8"?>
<ds:datastoreItem xmlns:ds="http://schemas.openxmlformats.org/officeDocument/2006/customXml" ds:itemID="{886BF1E1-EF0F-44E9-880E-E48C16EF2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2418</Words>
  <Characters>13787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2020-05-26T16:26:00Z</dcterms:created>
  <dcterms:modified xsi:type="dcterms:W3CDTF">2020-05-26T16:26:00Z</dcterms:modified>
</cp:coreProperties>
</file>